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_rels/item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word/_rels/document.xml.rels" ContentType="application/vnd.openxmlformats-package.relationships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numbering.xml" ContentType="application/vnd.openxmlformats-officedocument.wordprocessingml.numbering+xml"/>
  <Override PartName="/word/document.xml" ContentType="application/vnd.openxmlformats-officedocument.wordprocessingml.document.main+xml"/>
  <Override PartName="/word/styles.xml" ContentType="application/vnd.openxmlformats-officedocument.wordprocessingml.styl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before="360" w:after="120"/>
        <w:ind w:left="425" w:hanging="0"/>
        <w:jc w:val="center"/>
        <w:rPr>
          <w:rFonts w:ascii="Times New Roman" w:hAnsi="Times New Roman" w:eastAsia="Calibri"/>
          <w:b/>
          <w:caps/>
          <w:szCs w:val="24"/>
        </w:rPr>
      </w:pPr>
      <w:bookmarkStart w:id="0" w:name="_GoBack"/>
      <w:bookmarkEnd w:id="0"/>
      <w:r>
        <w:rPr>
          <w:rFonts w:eastAsia="Calibri" w:ascii="Times New Roman" w:hAnsi="Times New Roman"/>
          <w:b/>
          <w:caps/>
          <w:szCs w:val="24"/>
        </w:rPr>
        <w:t>ОБОСНОВАНИЕ СТОИМОСТИ ЛОТА</w:t>
      </w:r>
    </w:p>
    <w:p>
      <w:pPr>
        <w:pStyle w:val="Normal"/>
        <w:numPr>
          <w:ilvl w:val="0"/>
          <w:numId w:val="2"/>
        </w:numPr>
        <w:spacing w:lineRule="exact" w:line="360" w:before="120" w:after="120"/>
        <w:ind w:left="714" w:hanging="357"/>
        <w:jc w:val="both"/>
        <w:rPr>
          <w:rFonts w:ascii="Times New Roman" w:hAnsi="Times New Roman" w:eastAsia="Calibri"/>
          <w:b/>
          <w:sz w:val="26"/>
          <w:szCs w:val="26"/>
        </w:rPr>
      </w:pPr>
      <w:r>
        <w:rPr>
          <w:rFonts w:eastAsia="Calibri" w:ascii="Times New Roman" w:hAnsi="Times New Roman"/>
          <w:b/>
          <w:sz w:val="26"/>
          <w:szCs w:val="26"/>
        </w:rPr>
        <w:t>Общая информация</w:t>
      </w:r>
    </w:p>
    <w:tbl>
      <w:tblPr>
        <w:tblStyle w:val="1"/>
        <w:tblW w:w="10065" w:type="dxa"/>
        <w:jc w:val="left"/>
        <w:tblInd w:w="-318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VBand="1" w:noHBand="0" w:lastColumn="0" w:firstColumn="1" w:lastRow="0" w:firstRow="1"/>
      </w:tblPr>
      <w:tblGrid>
        <w:gridCol w:w="696"/>
        <w:gridCol w:w="3698"/>
        <w:gridCol w:w="5671"/>
      </w:tblGrid>
      <w:tr>
        <w:trPr/>
        <w:tc>
          <w:tcPr>
            <w:tcW w:w="696" w:type="dxa"/>
            <w:tcBorders/>
          </w:tcPr>
          <w:p>
            <w:pPr>
              <w:pStyle w:val="Normal"/>
              <w:widowControl w:val="false"/>
              <w:suppressAutoHyphens w:val="true"/>
              <w:spacing w:lineRule="exact" w:line="360" w:before="120" w:after="0"/>
              <w:contextualSpacing/>
              <w:jc w:val="both"/>
              <w:rPr>
                <w:rFonts w:ascii="Times New Roman" w:hAnsi="Times New Roman" w:eastAsia="Calibri"/>
                <w:b/>
                <w:sz w:val="22"/>
                <w:szCs w:val="22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2"/>
                <w:szCs w:val="22"/>
                <w:lang w:bidi="ar-SA"/>
              </w:rPr>
              <w:t xml:space="preserve">№ </w:t>
            </w:r>
            <w:r>
              <w:rPr>
                <w:rFonts w:eastAsia="Calibri" w:cs="Times New Roman" w:ascii="Times New Roman" w:hAnsi="Times New Roman"/>
                <w:b/>
                <w:kern w:val="0"/>
                <w:sz w:val="22"/>
                <w:szCs w:val="22"/>
                <w:lang w:bidi="ar-SA"/>
              </w:rPr>
              <w:t>п/п</w:t>
            </w:r>
          </w:p>
        </w:tc>
        <w:tc>
          <w:tcPr>
            <w:tcW w:w="3698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exact" w:line="360" w:before="120" w:after="0"/>
              <w:contextualSpacing/>
              <w:jc w:val="both"/>
              <w:rPr>
                <w:rFonts w:ascii="Times New Roman" w:hAnsi="Times New Roman" w:eastAsia="Calibri"/>
                <w:b/>
                <w:sz w:val="22"/>
                <w:szCs w:val="22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2"/>
                <w:szCs w:val="22"/>
                <w:lang w:bidi="ar-SA"/>
              </w:rPr>
              <w:t>Наименование</w:t>
            </w:r>
          </w:p>
        </w:tc>
        <w:tc>
          <w:tcPr>
            <w:tcW w:w="5671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exact" w:line="360" w:before="120" w:after="0"/>
              <w:contextualSpacing/>
              <w:jc w:val="both"/>
              <w:rPr>
                <w:rFonts w:ascii="Times New Roman" w:hAnsi="Times New Roman" w:eastAsia="Calibri"/>
                <w:b/>
                <w:sz w:val="22"/>
                <w:szCs w:val="22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2"/>
                <w:szCs w:val="22"/>
                <w:lang w:bidi="ar-SA"/>
              </w:rPr>
              <w:t>Информация по лоту</w:t>
            </w:r>
          </w:p>
        </w:tc>
      </w:tr>
      <w:tr>
        <w:trPr/>
        <w:tc>
          <w:tcPr>
            <w:tcW w:w="696" w:type="dxa"/>
            <w:tcBorders/>
          </w:tcPr>
          <w:p>
            <w:pPr>
              <w:pStyle w:val="Normal"/>
              <w:widowControl w:val="false"/>
              <w:numPr>
                <w:ilvl w:val="1"/>
                <w:numId w:val="2"/>
              </w:numPr>
              <w:suppressAutoHyphens w:val="true"/>
              <w:spacing w:lineRule="exact" w:line="360" w:before="120" w:after="120"/>
              <w:ind w:left="0" w:hanging="0"/>
              <w:contextualSpacing/>
              <w:jc w:val="both"/>
              <w:rPr>
                <w:rFonts w:ascii="Times New Roman" w:hAnsi="Times New Roman" w:eastAsia="Calibri"/>
                <w:sz w:val="22"/>
                <w:szCs w:val="22"/>
              </w:rPr>
            </w:pPr>
            <w:r>
              <w:rPr>
                <w:rFonts w:eastAsia="Calibri" w:ascii="Times New Roman" w:hAnsi="Times New Roman"/>
                <w:sz w:val="22"/>
                <w:szCs w:val="22"/>
              </w:rPr>
            </w:r>
          </w:p>
        </w:tc>
        <w:tc>
          <w:tcPr>
            <w:tcW w:w="3698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exact" w:line="360" w:before="120" w:after="0"/>
              <w:contextualSpacing/>
              <w:jc w:val="both"/>
              <w:rPr>
                <w:rFonts w:ascii="Times New Roman" w:hAnsi="Times New Roman" w:eastAsia="Calibri"/>
                <w:sz w:val="22"/>
                <w:szCs w:val="22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bidi="ar-SA"/>
              </w:rPr>
              <w:t>Наименование лота</w:t>
            </w:r>
          </w:p>
        </w:tc>
        <w:tc>
          <w:tcPr>
            <w:tcW w:w="5671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60" w:after="60"/>
              <w:ind w:right="-108" w:hanging="0"/>
              <w:jc w:val="both"/>
              <w:rPr>
                <w:b w:val="false"/>
                <w:bCs w:val="false"/>
                <w:i w:val="false"/>
                <w:i w:val="false"/>
                <w:iCs w:val="false"/>
              </w:rPr>
            </w:pPr>
            <w:r>
              <w:rPr>
                <w:rFonts w:eastAsia="Times New Roman" w:cs="Times New Roman" w:ascii="Times New Roman" w:hAnsi="Times New Roman"/>
                <w:b w:val="false"/>
                <w:bCs w:val="false"/>
                <w:i w:val="false"/>
                <w:iCs w:val="false"/>
                <w:kern w:val="0"/>
                <w:sz w:val="22"/>
                <w:szCs w:val="22"/>
                <w:lang w:bidi="ar-SA"/>
              </w:rPr>
              <w:t>ОКПД2 26.30.11.110 Поставка материально-технических ресурсов на содержание и эксплуатацию оборудования связи"</w:t>
            </w:r>
          </w:p>
        </w:tc>
      </w:tr>
      <w:tr>
        <w:trPr/>
        <w:tc>
          <w:tcPr>
            <w:tcW w:w="696" w:type="dxa"/>
            <w:tcBorders/>
          </w:tcPr>
          <w:p>
            <w:pPr>
              <w:pStyle w:val="Normal"/>
              <w:widowControl w:val="false"/>
              <w:numPr>
                <w:ilvl w:val="1"/>
                <w:numId w:val="2"/>
              </w:numPr>
              <w:suppressAutoHyphens w:val="true"/>
              <w:spacing w:lineRule="exact" w:line="360" w:before="120" w:after="120"/>
              <w:ind w:left="0" w:hanging="0"/>
              <w:contextualSpacing/>
              <w:jc w:val="both"/>
              <w:rPr>
                <w:rFonts w:ascii="Times New Roman" w:hAnsi="Times New Roman" w:eastAsia="Calibri"/>
                <w:sz w:val="22"/>
                <w:szCs w:val="22"/>
              </w:rPr>
            </w:pPr>
            <w:r>
              <w:rPr>
                <w:rFonts w:eastAsia="Calibri" w:ascii="Times New Roman" w:hAnsi="Times New Roman"/>
                <w:sz w:val="22"/>
                <w:szCs w:val="22"/>
              </w:rPr>
            </w:r>
          </w:p>
        </w:tc>
        <w:tc>
          <w:tcPr>
            <w:tcW w:w="3698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exact" w:line="360" w:before="120" w:after="0"/>
              <w:contextualSpacing/>
              <w:jc w:val="both"/>
              <w:rPr>
                <w:rFonts w:ascii="Times New Roman" w:hAnsi="Times New Roman" w:eastAsia="Calibri"/>
                <w:sz w:val="22"/>
                <w:szCs w:val="22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bidi="ar-SA"/>
              </w:rPr>
              <w:t>Номер лота</w:t>
            </w:r>
          </w:p>
        </w:tc>
        <w:tc>
          <w:tcPr>
            <w:tcW w:w="5671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rFonts w:cs="Times New Roman"/>
                <w:kern w:val="0"/>
                <w:lang w:bidi="ar-SA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bidi="ar-SA"/>
              </w:rPr>
              <w:t>6-ЭКСПДИТ-2026-КамГЭС</w:t>
            </w:r>
          </w:p>
        </w:tc>
      </w:tr>
      <w:tr>
        <w:trPr/>
        <w:tc>
          <w:tcPr>
            <w:tcW w:w="696" w:type="dxa"/>
            <w:tcBorders/>
          </w:tcPr>
          <w:p>
            <w:pPr>
              <w:pStyle w:val="Normal"/>
              <w:widowControl w:val="false"/>
              <w:numPr>
                <w:ilvl w:val="1"/>
                <w:numId w:val="2"/>
              </w:numPr>
              <w:suppressAutoHyphens w:val="true"/>
              <w:spacing w:lineRule="exact" w:line="360" w:before="120" w:after="120"/>
              <w:ind w:left="0" w:hanging="0"/>
              <w:contextualSpacing/>
              <w:jc w:val="both"/>
              <w:rPr>
                <w:rFonts w:ascii="Times New Roman" w:hAnsi="Times New Roman" w:eastAsia="Calibri"/>
                <w:sz w:val="22"/>
                <w:szCs w:val="22"/>
              </w:rPr>
            </w:pPr>
            <w:r>
              <w:rPr>
                <w:rFonts w:eastAsia="Calibri" w:ascii="Times New Roman" w:hAnsi="Times New Roman"/>
                <w:sz w:val="22"/>
                <w:szCs w:val="22"/>
              </w:rPr>
            </w:r>
          </w:p>
        </w:tc>
        <w:tc>
          <w:tcPr>
            <w:tcW w:w="3698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exact" w:line="360" w:before="120" w:after="0"/>
              <w:contextualSpacing/>
              <w:jc w:val="both"/>
              <w:rPr>
                <w:rFonts w:ascii="Times New Roman" w:hAnsi="Times New Roman" w:eastAsia="Calibri"/>
                <w:sz w:val="22"/>
                <w:szCs w:val="22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bidi="ar-SA"/>
              </w:rPr>
              <w:t>НМЦ лота</w:t>
            </w:r>
          </w:p>
        </w:tc>
        <w:tc>
          <w:tcPr>
            <w:tcW w:w="5671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rFonts w:cs="Times New Roman"/>
                <w:kern w:val="0"/>
                <w:lang w:bidi="ar-SA"/>
              </w:rPr>
            </w:pPr>
            <w:r>
              <w:rPr>
                <w:rFonts w:eastAsia="Times New Roman" w:cs="Times New Roman" w:ascii="Times New Roman" w:hAnsi="Times New Roman"/>
                <w:i w:val="false"/>
                <w:iCs w:val="false"/>
                <w:kern w:val="0"/>
                <w:sz w:val="22"/>
                <w:szCs w:val="22"/>
                <w:lang w:bidi="ar-SA"/>
              </w:rPr>
              <w:t xml:space="preserve">1 </w:t>
            </w:r>
            <w:r>
              <w:rPr>
                <w:rFonts w:eastAsia="Times New Roman" w:cs="Times New Roman" w:ascii="Times New Roman" w:hAnsi="Times New Roman"/>
                <w:i w:val="false"/>
                <w:iCs w:val="false"/>
                <w:kern w:val="0"/>
                <w:sz w:val="22"/>
                <w:szCs w:val="22"/>
                <w:lang w:bidi="ar-SA"/>
              </w:rPr>
              <w:t>490</w:t>
            </w:r>
            <w:r>
              <w:rPr>
                <w:rFonts w:eastAsia="Times New Roman" w:cs="Times New Roman" w:ascii="Times New Roman" w:hAnsi="Times New Roman"/>
                <w:i w:val="false"/>
                <w:iCs w:val="false"/>
                <w:kern w:val="0"/>
                <w:sz w:val="22"/>
                <w:szCs w:val="22"/>
                <w:lang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i w:val="false"/>
                <w:iCs w:val="false"/>
                <w:kern w:val="0"/>
                <w:sz w:val="22"/>
                <w:szCs w:val="22"/>
                <w:lang w:bidi="ar-SA"/>
              </w:rPr>
              <w:t>061</w:t>
            </w:r>
            <w:r>
              <w:rPr>
                <w:rFonts w:eastAsia="Times New Roman" w:cs="Times New Roman" w:ascii="Times New Roman" w:hAnsi="Times New Roman"/>
                <w:i w:val="false"/>
                <w:iCs w:val="false"/>
                <w:kern w:val="0"/>
                <w:sz w:val="22"/>
                <w:szCs w:val="22"/>
                <w:lang w:bidi="ar-SA"/>
              </w:rPr>
              <w:t>,</w:t>
            </w:r>
            <w:r>
              <w:rPr>
                <w:rFonts w:eastAsia="Times New Roman" w:cs="Times New Roman" w:ascii="Times New Roman" w:hAnsi="Times New Roman"/>
                <w:i w:val="false"/>
                <w:iCs w:val="false"/>
                <w:kern w:val="0"/>
                <w:sz w:val="22"/>
                <w:szCs w:val="22"/>
                <w:lang w:bidi="ar-SA"/>
              </w:rPr>
              <w:t>33</w:t>
            </w: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bidi="ar-SA"/>
              </w:rPr>
              <w:t xml:space="preserve"> руб. без НДС</w:t>
            </w:r>
          </w:p>
        </w:tc>
      </w:tr>
    </w:tbl>
    <w:p>
      <w:pPr>
        <w:pStyle w:val="Normal"/>
        <w:numPr>
          <w:ilvl w:val="0"/>
          <w:numId w:val="2"/>
        </w:numPr>
        <w:spacing w:lineRule="exact" w:line="360" w:before="120" w:after="120"/>
        <w:ind w:left="714" w:hanging="357"/>
        <w:jc w:val="both"/>
        <w:rPr>
          <w:rFonts w:ascii="Times New Roman" w:hAnsi="Times New Roman" w:eastAsia="Calibri"/>
          <w:b/>
          <w:sz w:val="26"/>
          <w:szCs w:val="26"/>
        </w:rPr>
      </w:pPr>
      <w:r>
        <w:rPr>
          <w:rFonts w:eastAsia="Calibri" w:ascii="Times New Roman" w:hAnsi="Times New Roman"/>
          <w:b/>
          <w:sz w:val="26"/>
          <w:szCs w:val="26"/>
        </w:rPr>
        <w:t>Использованный метод (методы) расчета НМЦ / цены единицы товара, работы, услуги:</w:t>
      </w:r>
    </w:p>
    <w:p>
      <w:pPr>
        <w:pStyle w:val="Normal"/>
        <w:spacing w:before="0" w:after="120"/>
        <w:jc w:val="both"/>
        <w:rPr>
          <w:rFonts w:ascii="Times New Roman" w:hAnsi="Times New Roman" w:eastAsia="Calibri"/>
          <w:sz w:val="26"/>
          <w:szCs w:val="26"/>
        </w:rPr>
      </w:pPr>
      <w:r>
        <w:rPr>
          <w:rFonts w:eastAsia="Calibri" w:ascii="Times New Roman" w:hAnsi="Times New Roman"/>
          <w:sz w:val="26"/>
          <w:szCs w:val="26"/>
        </w:rPr>
        <w:t>Метод анализа технико-коммерческих предложений</w:t>
      </w:r>
    </w:p>
    <w:p>
      <w:pPr>
        <w:pStyle w:val="Normal"/>
        <w:spacing w:before="0" w:after="120"/>
        <w:jc w:val="both"/>
        <w:rPr>
          <w:rFonts w:ascii="Times New Roman" w:hAnsi="Times New Roman" w:eastAsia="Calibri"/>
          <w:sz w:val="26"/>
          <w:szCs w:val="26"/>
        </w:rPr>
      </w:pPr>
      <w:r>
        <w:rPr>
          <w:rFonts w:eastAsia="Calibri" w:ascii="Times New Roman" w:hAnsi="Times New Roman"/>
          <w:sz w:val="26"/>
          <w:szCs w:val="26"/>
        </w:rPr>
        <w:t>Обоснование расчета НМЦ:</w:t>
      </w:r>
    </w:p>
    <w:tbl>
      <w:tblPr>
        <w:tblW w:w="10125" w:type="dxa"/>
        <w:jc w:val="left"/>
        <w:tblInd w:w="-318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VBand="1" w:noHBand="0" w:lastColumn="0" w:firstColumn="1" w:lastRow="0" w:firstRow="1"/>
      </w:tblPr>
      <w:tblGrid>
        <w:gridCol w:w="2632"/>
        <w:gridCol w:w="1944"/>
        <w:gridCol w:w="1589"/>
        <w:gridCol w:w="1978"/>
        <w:gridCol w:w="1982"/>
      </w:tblGrid>
      <w:tr>
        <w:trPr>
          <w:trHeight w:val="70" w:hRule="atLeast"/>
        </w:trPr>
        <w:tc>
          <w:tcPr>
            <w:tcW w:w="2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E7E6E6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eastAsia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eastAsia="Times New Roman" w:ascii="Times New Roman" w:hAnsi="Times New Roman"/>
                <w:b/>
                <w:bCs/>
                <w:color w:val="000000"/>
                <w:sz w:val="22"/>
                <w:szCs w:val="22"/>
                <w:lang w:eastAsia="ru-RU"/>
              </w:rPr>
              <w:t>Наименование товара/ работы/ услуги в составе лота</w:t>
            </w:r>
          </w:p>
        </w:tc>
        <w:tc>
          <w:tcPr>
            <w:tcW w:w="1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E7E6E6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eastAsia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eastAsia="Times New Roman" w:ascii="Times New Roman" w:hAnsi="Times New Roman"/>
                <w:b/>
                <w:bCs/>
                <w:color w:val="000000"/>
                <w:sz w:val="22"/>
                <w:szCs w:val="22"/>
                <w:lang w:eastAsia="ru-RU"/>
              </w:rPr>
              <w:t>Наименование источника ценовой информации (ИЦИ)</w:t>
            </w: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E7E6E6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eastAsia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eastAsia="Times New Roman" w:ascii="Times New Roman" w:hAnsi="Times New Roman"/>
                <w:b/>
                <w:bCs/>
                <w:color w:val="000000"/>
                <w:sz w:val="22"/>
                <w:szCs w:val="22"/>
                <w:lang w:eastAsia="ru-RU"/>
              </w:rPr>
              <w:t>Цена из соответствующего ИЦИ, в руб. без НДС</w:t>
            </w: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E7E6E6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eastAsia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eastAsia="Times New Roman" w:ascii="Times New Roman" w:hAnsi="Times New Roman"/>
                <w:b/>
                <w:bCs/>
                <w:color w:val="000000"/>
                <w:sz w:val="22"/>
                <w:szCs w:val="22"/>
                <w:lang w:eastAsia="ru-RU"/>
              </w:rPr>
              <w:t>Цена итоговая, в руб. без НДС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E7E6E6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eastAsia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eastAsia="Times New Roman" w:ascii="Times New Roman" w:hAnsi="Times New Roman"/>
                <w:b/>
                <w:bCs/>
                <w:color w:val="000000"/>
                <w:sz w:val="22"/>
                <w:szCs w:val="22"/>
                <w:lang w:eastAsia="ru-RU"/>
              </w:rPr>
              <w:t>Комментарии</w:t>
            </w:r>
          </w:p>
        </w:tc>
      </w:tr>
      <w:tr>
        <w:trPr>
          <w:trHeight w:val="70" w:hRule="atLeast"/>
        </w:trPr>
        <w:tc>
          <w:tcPr>
            <w:tcW w:w="26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before="60" w:after="60"/>
              <w:ind w:right="-108" w:hanging="0"/>
              <w:jc w:val="both"/>
              <w:rPr>
                <w:b w:val="false"/>
                <w:bCs w:val="false"/>
                <w:i w:val="false"/>
                <w:i w:val="false"/>
                <w:iCs w:val="false"/>
              </w:rPr>
            </w:pPr>
            <w:r>
              <w:rPr>
                <w:rFonts w:eastAsia="Times New Roman" w:cs="Times New Roman" w:ascii="Times New Roman" w:hAnsi="Times New Roman"/>
                <w:b w:val="false"/>
                <w:bCs w:val="false"/>
                <w:i w:val="false"/>
                <w:iCs w:val="false"/>
                <w:kern w:val="0"/>
                <w:sz w:val="22"/>
                <w:szCs w:val="22"/>
                <w:lang w:eastAsia="ru-RU" w:bidi="ar-SA"/>
              </w:rPr>
              <w:t>Поставка материально-технических ресурсов на содержание и эксплуатацию оборудования связи</w:t>
            </w:r>
          </w:p>
        </w:tc>
        <w:tc>
          <w:tcPr>
            <w:tcW w:w="1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Коммерческое предложение № 1</w:t>
            </w: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1 624 224,00</w:t>
            </w:r>
          </w:p>
        </w:tc>
        <w:tc>
          <w:tcPr>
            <w:tcW w:w="19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bCs/>
                <w:i w:val="false"/>
                <w:iCs w:val="false"/>
                <w:sz w:val="22"/>
                <w:szCs w:val="22"/>
              </w:rPr>
              <w:t>Среднее арифметическое значение полученных ТКП:</w:t>
            </w:r>
          </w:p>
          <w:p>
            <w:pPr>
              <w:pStyle w:val="Normal"/>
              <w:widowControl w:val="false"/>
              <w:spacing w:lineRule="auto" w:line="240" w:before="60" w:after="60"/>
              <w:ind w:left="-108" w:right="-108" w:firstLine="149"/>
              <w:jc w:val="center"/>
              <w:rPr>
                <w:i w:val="false"/>
                <w:i w:val="false"/>
                <w:iCs w:val="false"/>
              </w:rPr>
            </w:pPr>
            <w:r>
              <w:rPr>
                <w:rFonts w:eastAsia="Times New Roman" w:cs="Times New Roman" w:ascii="Times New Roman" w:hAnsi="Times New Roman"/>
                <w:bCs/>
                <w:i w:val="false"/>
                <w:iCs w:val="false"/>
                <w:kern w:val="0"/>
                <w:sz w:val="22"/>
                <w:szCs w:val="22"/>
                <w:lang w:bidi="ar-SA"/>
              </w:rPr>
              <w:t xml:space="preserve">1 </w:t>
            </w:r>
            <w:r>
              <w:rPr>
                <w:rFonts w:eastAsia="Times New Roman" w:cs="Times New Roman" w:ascii="Times New Roman" w:hAnsi="Times New Roman"/>
                <w:bCs/>
                <w:i w:val="false"/>
                <w:iCs w:val="false"/>
                <w:kern w:val="0"/>
                <w:sz w:val="22"/>
                <w:szCs w:val="22"/>
                <w:lang w:bidi="ar-SA"/>
              </w:rPr>
              <w:t>490 061</w:t>
            </w:r>
            <w:r>
              <w:rPr>
                <w:rFonts w:eastAsia="Times New Roman" w:cs="Times New Roman" w:ascii="Times New Roman" w:hAnsi="Times New Roman"/>
                <w:bCs/>
                <w:i w:val="false"/>
                <w:iCs w:val="false"/>
                <w:kern w:val="0"/>
                <w:sz w:val="22"/>
                <w:szCs w:val="22"/>
                <w:lang w:bidi="ar-SA"/>
              </w:rPr>
              <w:t>,</w:t>
            </w:r>
            <w:r>
              <w:rPr>
                <w:rFonts w:eastAsia="Times New Roman" w:cs="Times New Roman" w:ascii="Times New Roman" w:hAnsi="Times New Roman"/>
                <w:bCs/>
                <w:i w:val="false"/>
                <w:iCs w:val="false"/>
                <w:kern w:val="0"/>
                <w:sz w:val="22"/>
                <w:szCs w:val="22"/>
                <w:lang w:bidi="ar-SA"/>
              </w:rPr>
              <w:t>33</w:t>
            </w:r>
          </w:p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bCs/>
                <w:i/>
                <w:i/>
                <w:color w:val="FF0000"/>
                <w:sz w:val="22"/>
                <w:szCs w:val="22"/>
              </w:rPr>
            </w:pPr>
            <w:r>
              <w:rPr>
                <w:bCs/>
                <w:i/>
                <w:color w:val="FF0000"/>
                <w:sz w:val="22"/>
                <w:szCs w:val="22"/>
              </w:rPr>
            </w:r>
          </w:p>
        </w:tc>
        <w:tc>
          <w:tcPr>
            <w:tcW w:w="198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rPr>
          <w:trHeight w:val="70" w:hRule="atLeast"/>
        </w:trPr>
        <w:tc>
          <w:tcPr>
            <w:tcW w:w="263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60" w:after="60"/>
              <w:rPr>
                <w:rFonts w:ascii="Times New Roman" w:hAnsi="Times New Roman" w:eastAsia="Times New Roman"/>
                <w:i/>
                <w:i/>
                <w:sz w:val="20"/>
                <w:shd w:fill="FFFF99" w:val="clear"/>
                <w:lang w:eastAsia="ru-RU"/>
              </w:rPr>
            </w:pPr>
            <w:r>
              <w:rPr>
                <w:rFonts w:eastAsia="Times New Roman" w:ascii="Times New Roman" w:hAnsi="Times New Roman"/>
                <w:i/>
                <w:sz w:val="20"/>
                <w:shd w:fill="FFFF99" w:val="clear"/>
                <w:lang w:eastAsia="ru-RU"/>
              </w:rPr>
            </w:r>
          </w:p>
        </w:tc>
        <w:tc>
          <w:tcPr>
            <w:tcW w:w="1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Коммерческое предложение № 2</w:t>
            </w: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1 235 200,00</w:t>
            </w:r>
          </w:p>
        </w:tc>
        <w:tc>
          <w:tcPr>
            <w:tcW w:w="197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198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rPr>
          <w:trHeight w:val="70" w:hRule="atLeast"/>
        </w:trPr>
        <w:tc>
          <w:tcPr>
            <w:tcW w:w="263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60" w:after="60"/>
              <w:rPr>
                <w:rFonts w:ascii="Times New Roman" w:hAnsi="Times New Roman" w:eastAsia="Times New Roman"/>
                <w:i/>
                <w:i/>
                <w:sz w:val="20"/>
                <w:shd w:fill="FFFF99" w:val="clear"/>
                <w:lang w:eastAsia="ru-RU"/>
              </w:rPr>
            </w:pPr>
            <w:r>
              <w:rPr>
                <w:rFonts w:eastAsia="Times New Roman" w:ascii="Times New Roman" w:hAnsi="Times New Roman"/>
                <w:i/>
                <w:sz w:val="20"/>
                <w:shd w:fill="FFFF99" w:val="clear"/>
                <w:lang w:eastAsia="ru-RU"/>
              </w:rPr>
            </w:r>
          </w:p>
        </w:tc>
        <w:tc>
          <w:tcPr>
            <w:tcW w:w="1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Коммерческое предложение № 3</w:t>
            </w: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/>
                <w:sz w:val="22"/>
                <w:szCs w:val="22"/>
              </w:rPr>
              <w:t>610 760</w:t>
            </w:r>
            <w:r>
              <w:rPr>
                <w:rFonts w:ascii="Times New Roman" w:hAnsi="Times New Roman"/>
                <w:sz w:val="22"/>
                <w:szCs w:val="22"/>
              </w:rPr>
              <w:t>,</w:t>
            </w:r>
            <w:r>
              <w:rPr>
                <w:rFonts w:ascii="Times New Roman" w:hAnsi="Times New Roman"/>
                <w:sz w:val="22"/>
                <w:szCs w:val="22"/>
              </w:rPr>
              <w:t>0</w:t>
            </w:r>
            <w:r>
              <w:rPr>
                <w:rFonts w:ascii="Times New Roman" w:hAnsi="Times New Roman"/>
                <w:sz w:val="22"/>
                <w:szCs w:val="22"/>
              </w:rPr>
              <w:t>0</w:t>
            </w:r>
          </w:p>
        </w:tc>
        <w:tc>
          <w:tcPr>
            <w:tcW w:w="197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198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</w:tbl>
    <w:p>
      <w:pPr>
        <w:pStyle w:val="Normal"/>
        <w:spacing w:before="0" w:after="0"/>
        <w:contextualSpacing/>
        <w:jc w:val="both"/>
        <w:rPr>
          <w:rFonts w:ascii="Times New Roman" w:hAnsi="Times New Roman" w:eastAsia="Calibri"/>
          <w:sz w:val="26"/>
          <w:szCs w:val="26"/>
        </w:rPr>
      </w:pPr>
      <w:r>
        <w:rPr>
          <w:rFonts w:eastAsia="Calibri" w:ascii="Times New Roman" w:hAnsi="Times New Roman"/>
          <w:sz w:val="26"/>
          <w:szCs w:val="26"/>
        </w:rPr>
      </w:r>
    </w:p>
    <w:p>
      <w:pPr>
        <w:pStyle w:val="Normal"/>
        <w:tabs>
          <w:tab w:val="clear" w:pos="708"/>
          <w:tab w:val="left" w:pos="709" w:leader="none"/>
        </w:tabs>
        <w:ind w:firstLine="567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eastAsia="Times New Roman" w:ascii="Times New Roman" w:hAnsi="Times New Roman"/>
          <w:sz w:val="28"/>
          <w:szCs w:val="28"/>
          <w:lang w:eastAsia="ru-RU"/>
        </w:rPr>
      </w:r>
    </w:p>
    <w:p>
      <w:pPr>
        <w:pStyle w:val="Normal"/>
        <w:numPr>
          <w:ilvl w:val="0"/>
          <w:numId w:val="3"/>
        </w:numPr>
        <w:rPr/>
      </w:pPr>
      <w:r>
        <w:rPr>
          <w:rFonts w:ascii="Times New Roman" w:hAnsi="Times New Roman"/>
          <w:sz w:val="26"/>
          <w:szCs w:val="26"/>
        </w:rPr>
        <w:t>Для проведения мониторинга был использован функционал электронной торговой площадки АО «РАД» (</w:t>
      </w:r>
      <w:hyperlink r:id="rId2">
        <w:r>
          <w:rPr>
            <w:rStyle w:val="Hyperlink"/>
            <w:rFonts w:ascii="Times New Roman" w:hAnsi="Times New Roman"/>
            <w:color w:val="auto"/>
            <w:sz w:val="26"/>
            <w:szCs w:val="26"/>
          </w:rPr>
          <w:t>https://tender.lot-online.ru</w:t>
        </w:r>
      </w:hyperlink>
      <w:r>
        <w:rPr>
          <w:rFonts w:ascii="Times New Roman" w:hAnsi="Times New Roman"/>
          <w:sz w:val="26"/>
          <w:szCs w:val="26"/>
        </w:rPr>
        <w:t>), номер процедуры</w:t>
      </w:r>
      <w:r>
        <w:rPr>
          <w:rFonts w:eastAsia="Times New Roman" w:cs="Times New Roman" w:ascii="Times New Roman" w:hAnsi="Times New Roman"/>
          <w:i/>
          <w:sz w:val="26"/>
          <w:szCs w:val="26"/>
        </w:rPr>
        <w:t xml:space="preserve"> </w:t>
      </w:r>
      <w:r>
        <w:rPr>
          <w:rFonts w:eastAsia="Times New Roman" w:cs="Times New Roman" w:ascii="Times New Roman" w:hAnsi="Times New Roman"/>
          <w:b w:val="false"/>
          <w:i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sz w:val="26"/>
          <w:szCs w:val="26"/>
          <w:u w:val="none"/>
          <w:em w:val="none"/>
        </w:rPr>
        <w:t>RAD260008230</w:t>
      </w:r>
      <w:r>
        <w:rPr>
          <w:rFonts w:ascii="Times New Roman" w:hAnsi="Times New Roman"/>
          <w:b w:val="false"/>
          <w:i w:val="false"/>
          <w:strike w:val="false"/>
          <w:dstrike w:val="false"/>
          <w:outline w:val="false"/>
          <w:shadow w:val="false"/>
          <w:color w:val="000000"/>
          <w:sz w:val="26"/>
          <w:szCs w:val="26"/>
          <w:u w:val="none"/>
          <w:em w:val="none"/>
        </w:rPr>
        <w:t xml:space="preserve">, </w:t>
      </w:r>
      <w:r>
        <w:rPr>
          <w:rFonts w:ascii="Times New Roman" w:hAnsi="Times New Roman"/>
          <w:sz w:val="26"/>
          <w:szCs w:val="26"/>
        </w:rPr>
        <w:t>дата размещения 25</w:t>
      </w:r>
      <w:r>
        <w:rPr>
          <w:rFonts w:ascii="Times New Roman" w:hAnsi="Times New Roman"/>
          <w:sz w:val="24"/>
          <w:szCs w:val="24"/>
        </w:rPr>
        <w:t xml:space="preserve">.02.2026г. </w:t>
      </w:r>
      <w:r>
        <w:rPr>
          <w:rFonts w:ascii="Times New Roman" w:hAnsi="Times New Roman"/>
          <w:sz w:val="26"/>
          <w:szCs w:val="26"/>
        </w:rPr>
        <w:t>Не поступило ни одного технико-коммерческого предложения на электронную торговую площадку, в результате был</w:t>
      </w:r>
      <w:r>
        <w:rPr>
          <w:rFonts w:ascii="Times New Roman" w:hAnsi="Times New Roman"/>
          <w:sz w:val="26"/>
          <w:szCs w:val="26"/>
        </w:rPr>
        <w:t>и</w:t>
      </w:r>
      <w:r>
        <w:rPr>
          <w:rFonts w:ascii="Times New Roman" w:hAnsi="Times New Roman"/>
          <w:sz w:val="26"/>
          <w:szCs w:val="26"/>
        </w:rPr>
        <w:t xml:space="preserve"> направлен</w:t>
      </w:r>
      <w:r>
        <w:rPr>
          <w:rFonts w:ascii="Times New Roman" w:hAnsi="Times New Roman"/>
          <w:sz w:val="26"/>
          <w:szCs w:val="26"/>
        </w:rPr>
        <w:t>ы</w:t>
      </w:r>
      <w:r>
        <w:rPr>
          <w:rFonts w:ascii="Times New Roman" w:hAnsi="Times New Roman"/>
          <w:sz w:val="26"/>
          <w:szCs w:val="26"/>
        </w:rPr>
        <w:t xml:space="preserve"> запрос потенциальным Поставщикам, на что было получено 3 предложения.</w:t>
      </w:r>
    </w:p>
    <w:p>
      <w:pPr>
        <w:pStyle w:val="Normal"/>
        <w:numPr>
          <w:ilvl w:val="0"/>
          <w:numId w:val="0"/>
        </w:numPr>
        <w:tabs>
          <w:tab w:val="clear" w:pos="708"/>
          <w:tab w:val="left" w:pos="709" w:leader="none"/>
        </w:tabs>
        <w:ind w:left="0" w:hanging="0"/>
        <w:jc w:val="both"/>
        <w:rPr>
          <w:rFonts w:ascii="Times New Roman" w:hAnsi="Times New Roman" w:eastAsia="Times New Roman"/>
          <w:sz w:val="26"/>
          <w:szCs w:val="26"/>
          <w:lang w:eastAsia="ru-RU"/>
        </w:rPr>
      </w:pPr>
      <w:r>
        <w:rPr>
          <w:rFonts w:eastAsia="Times New Roman" w:ascii="Times New Roman" w:hAnsi="Times New Roman"/>
          <w:sz w:val="26"/>
          <w:szCs w:val="26"/>
          <w:lang w:eastAsia="ru-RU"/>
        </w:rPr>
      </w:r>
    </w:p>
    <w:p>
      <w:pPr>
        <w:pStyle w:val="Normal"/>
        <w:numPr>
          <w:ilvl w:val="0"/>
          <w:numId w:val="0"/>
        </w:numPr>
        <w:tabs>
          <w:tab w:val="clear" w:pos="708"/>
          <w:tab w:val="left" w:pos="709" w:leader="none"/>
        </w:tabs>
        <w:ind w:left="0" w:hanging="0"/>
        <w:jc w:val="both"/>
        <w:rPr>
          <w:rFonts w:ascii="Times New Roman" w:hAnsi="Times New Roman" w:eastAsia="Times New Roman"/>
          <w:sz w:val="26"/>
          <w:szCs w:val="26"/>
          <w:lang w:eastAsia="ru-RU"/>
        </w:rPr>
      </w:pPr>
      <w:r>
        <w:rPr>
          <w:rFonts w:eastAsia="Times New Roman" w:ascii="Times New Roman" w:hAnsi="Times New Roman"/>
          <w:sz w:val="26"/>
          <w:szCs w:val="26"/>
          <w:lang w:eastAsia="ru-RU"/>
        </w:rPr>
      </w:r>
    </w:p>
    <w:p>
      <w:pPr>
        <w:pStyle w:val="Normal"/>
        <w:numPr>
          <w:ilvl w:val="0"/>
          <w:numId w:val="0"/>
        </w:numPr>
        <w:tabs>
          <w:tab w:val="clear" w:pos="708"/>
          <w:tab w:val="left" w:pos="709" w:leader="none"/>
        </w:tabs>
        <w:ind w:left="0" w:hanging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Директор филиала </w:t>
      </w:r>
    </w:p>
    <w:p>
      <w:pPr>
        <w:pStyle w:val="Normal"/>
        <w:numPr>
          <w:ilvl w:val="0"/>
          <w:numId w:val="0"/>
        </w:numPr>
        <w:tabs>
          <w:tab w:val="clear" w:pos="708"/>
          <w:tab w:val="left" w:pos="709" w:leader="none"/>
        </w:tabs>
        <w:ind w:left="0" w:hanging="0"/>
        <w:rPr>
          <w:rFonts w:ascii="Times New Roman" w:hAnsi="Times New Roman"/>
        </w:rPr>
      </w:pPr>
      <w:r>
        <w:rPr>
          <w:rFonts w:ascii="Times New Roman" w:hAnsi="Times New Roman"/>
        </w:rPr>
        <w:t>ПАО «РусГидро»- «Камская ГЭС»                                                           Двинянинов С.В.</w:t>
      </w:r>
    </w:p>
    <w:p>
      <w:pPr>
        <w:pStyle w:val="Normal"/>
        <w:numPr>
          <w:ilvl w:val="0"/>
          <w:numId w:val="0"/>
        </w:numPr>
        <w:tabs>
          <w:tab w:val="clear" w:pos="708"/>
          <w:tab w:val="left" w:pos="709" w:leader="none"/>
        </w:tabs>
        <w:ind w:left="0" w:hanging="0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numPr>
          <w:ilvl w:val="0"/>
          <w:numId w:val="0"/>
        </w:numPr>
        <w:ind w:left="720" w:hanging="0"/>
        <w:rPr/>
      </w:pPr>
      <w:r>
        <w:rPr/>
      </w:r>
    </w:p>
    <w:sectPr>
      <w:headerReference w:type="even" r:id="rId3"/>
      <w:headerReference w:type="default" r:id="rId4"/>
      <w:type w:val="nextPage"/>
      <w:pgSz w:w="11906" w:h="16838"/>
      <w:pgMar w:left="1701" w:right="709" w:gutter="0" w:header="964" w:top="1418" w:footer="0" w:bottom="1134"/>
      <w:pgNumType w:fmt="decimal"/>
      <w:formProt w:val="false"/>
      <w:titlePg/>
      <w:textDirection w:val="lrTb"/>
      <w:docGrid w:type="default" w:linePitch="326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mbria">
    <w:charset w:val="01"/>
    <w:family w:val="roman"/>
    <w:pitch w:val="variable"/>
  </w:font>
  <w:font w:name="Geneva CY">
    <w:charset w:val="01"/>
    <w:family w:val="roman"/>
    <w:pitch w:val="variable"/>
  </w:font>
  <w:font w:name="Lucida Grande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Times New Roman">
    <w:charset w:val="01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  <mc:AlternateContent>
        <mc:Choice Requires="wps">
          <w:drawing>
            <wp:anchor behindDoc="1" distT="0" distB="0" distL="0" distR="0" simplePos="0" locked="0" layoutInCell="0" allowOverlap="1" relativeHeight="2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1" name="Врезка1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760" cy="147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Header"/>
                            <w:rPr>
                              <w:rStyle w:val="Pagenumber"/>
                            </w:rPr>
                          </w:pPr>
                          <w:r>
                            <w:rPr>
                              <w:rStyle w:val="Pagenumber"/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fldChar w:fldCharType="separate"/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t>0</w:t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rIns="0" t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Врезка1" path="m0,0l-2147483645,0l-2147483645,-2147483646l0,-2147483646xe" stroked="f" o:allowincell="f" style="position:absolute;margin-left:0pt;margin-top:0.05pt;width:1.1pt;height:1.1pt;mso-wrap-style:square;v-text-anchor:top;mso-position-horizontal:center;mso-position-horizontal-relative:margin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Header"/>
                      <w:rPr>
                        <w:rStyle w:val="Pagenumber"/>
                      </w:rPr>
                    </w:pPr>
                    <w:r>
                      <w:rPr>
                        <w:rStyle w:val="Pagenumber"/>
                        <w:color w:val="000000"/>
                      </w:rPr>
                      <w:fldChar w:fldCharType="begin"/>
                    </w:r>
                    <w:r>
                      <w:rPr>
                        <w:rStyle w:val="Pagenumber"/>
                        <w:color w:val="000000"/>
                      </w:rPr>
                      <w:instrText xml:space="preserve"> PAGE </w:instrText>
                    </w:r>
                    <w:r>
                      <w:rPr>
                        <w:rStyle w:val="Pagenumber"/>
                        <w:color w:val="000000"/>
                      </w:rPr>
                      <w:fldChar w:fldCharType="separate"/>
                    </w:r>
                    <w:r>
                      <w:rPr>
                        <w:rStyle w:val="Pagenumber"/>
                        <w:color w:val="000000"/>
                      </w:rPr>
                      <w:t>0</w:t>
                    </w:r>
                    <w:r>
                      <w:rPr>
                        <w:rStyle w:val="Pagenumber"/>
                        <w:color w:val="000000"/>
                      </w:rPr>
                      <w:fldChar w:fldCharType="end"/>
                    </w:r>
                  </w:p>
                </w:txbxContent>
              </v:textbox>
              <w10:wrap type="square"/>
            </v:rect>
          </w:pict>
        </mc:Fallback>
      </mc:AlternateContent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Top of Page)"/>
        <w:docPartUnique w:val="true"/>
      </w:docPartObj>
      <w:id w:val="1578209271"/>
    </w:sdtPr>
    <w:sdtContent>
      <w:p>
        <w:pPr>
          <w:pStyle w:val="Header"/>
          <w:jc w:val="center"/>
          <w:rPr>
            <w:rFonts w:ascii="Times New Roman" w:hAnsi="Times New Roman"/>
          </w:rPr>
        </w:pPr>
        <w:r>
          <w:rPr>
            <w:rFonts w:ascii="Times New Roman" w:hAnsi="Times New Roman"/>
          </w:rPr>
          <w:fldChar w:fldCharType="begin"/>
        </w:r>
        <w:r>
          <w:rPr>
            <w:rFonts w:ascii="Times New Roman" w:hAnsi="Times New Roman"/>
          </w:rPr>
          <w:instrText xml:space="preserve"> PAGE </w:instrText>
        </w:r>
        <w:r>
          <w:rPr>
            <w:rFonts w:ascii="Times New Roman" w:hAnsi="Times New Roman"/>
          </w:rPr>
          <w:fldChar w:fldCharType="separate"/>
        </w:r>
        <w:r>
          <w:rPr>
            <w:rFonts w:ascii="Times New Roman" w:hAnsi="Times New Roman"/>
          </w:rPr>
          <w:t>0</w:t>
        </w:r>
        <w:r>
          <w:rPr>
            <w:rFonts w:ascii="Times New Roman" w:hAnsi="Times New Roman"/>
          </w:rPr>
          <w:fldChar w:fldCharType="end"/>
        </w:r>
      </w:p>
    </w:sdtContent>
  </w:sdt>
  <w:p>
    <w:pPr>
      <w:pStyle w:val="Header"/>
      <w:rPr/>
    </w:pPr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360"/>
      </w:pPr>
      <w:rPr/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  <w:rPr/>
    </w:lvl>
  </w:abstractNum>
  <w:abstractNum w:abstractNumId="3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/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/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/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/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/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/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/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/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/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mbria" w:hAnsi="Cambria" w:eastAsia="MS Mincho" w:cs="Times New Roman"/>
        <w:lang w:val="en-US" w:eastAsia="ru-RU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d002ca"/>
    <w:pPr>
      <w:widowControl/>
      <w:suppressAutoHyphens w:val="true"/>
      <w:bidi w:val="0"/>
      <w:spacing w:before="0" w:after="0"/>
      <w:jc w:val="left"/>
    </w:pPr>
    <w:rPr>
      <w:rFonts w:ascii="Geneva CY" w:hAnsi="Geneva CY" w:eastAsia="Geneva" w:cs="Times New Roman"/>
      <w:color w:val="auto"/>
      <w:kern w:val="0"/>
      <w:sz w:val="24"/>
      <w:szCs w:val="20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9" w:customStyle="1">
    <w:name w:val="Верхний колонтитул Знак"/>
    <w:uiPriority w:val="99"/>
    <w:qFormat/>
    <w:rsid w:val="00d002ca"/>
    <w:rPr>
      <w:rFonts w:ascii="Geneva CY" w:hAnsi="Geneva CY" w:eastAsia="Geneva" w:cs="Times New Roman"/>
      <w:szCs w:val="20"/>
      <w:lang w:val="ru-RU" w:eastAsia="en-US"/>
    </w:rPr>
  </w:style>
  <w:style w:type="character" w:styleId="Pagenumber">
    <w:name w:val="page number"/>
    <w:basedOn w:val="DefaultParagraphFont"/>
    <w:qFormat/>
    <w:rsid w:val="00d002ca"/>
    <w:rPr/>
  </w:style>
  <w:style w:type="character" w:styleId="Style10" w:customStyle="1">
    <w:name w:val="Текст выноски Знак"/>
    <w:link w:val="BalloonText"/>
    <w:uiPriority w:val="99"/>
    <w:semiHidden/>
    <w:qFormat/>
    <w:rsid w:val="00d002ca"/>
    <w:rPr>
      <w:rFonts w:ascii="Lucida Grande" w:hAnsi="Lucida Grande" w:eastAsia="Geneva" w:cs="Times New Roman"/>
      <w:sz w:val="18"/>
      <w:szCs w:val="18"/>
      <w:lang w:val="ru-RU" w:eastAsia="en-US"/>
    </w:rPr>
  </w:style>
  <w:style w:type="character" w:styleId="Hyperlink">
    <w:name w:val="Hyperlink"/>
    <w:basedOn w:val="DefaultParagraphFont"/>
    <w:uiPriority w:val="99"/>
    <w:unhideWhenUsed/>
    <w:rsid w:val="0017740a"/>
    <w:rPr>
      <w:color w:val="0000FF" w:themeColor="hyperlink"/>
      <w:u w:val="single"/>
    </w:rPr>
  </w:style>
  <w:style w:type="character" w:styleId="Style11" w:customStyle="1">
    <w:name w:val="Нижний колонтитул Знак"/>
    <w:basedOn w:val="DefaultParagraphFont"/>
    <w:uiPriority w:val="99"/>
    <w:qFormat/>
    <w:rsid w:val="00206a95"/>
    <w:rPr>
      <w:rFonts w:ascii="Geneva CY" w:hAnsi="Geneva CY" w:eastAsia="Geneva"/>
      <w:sz w:val="24"/>
      <w:lang w:val="ru-RU" w:eastAsia="en-US"/>
    </w:rPr>
  </w:style>
  <w:style w:type="character" w:styleId="Style12" w:customStyle="1">
    <w:name w:val="Текст сноски Знак"/>
    <w:basedOn w:val="DefaultParagraphFont"/>
    <w:uiPriority w:val="99"/>
    <w:qFormat/>
    <w:rsid w:val="005f30b7"/>
    <w:rPr>
      <w:rFonts w:ascii="Geneva CY" w:hAnsi="Geneva CY" w:eastAsia="Geneva"/>
      <w:lang w:val="ru-RU" w:eastAsia="en-US"/>
    </w:rPr>
  </w:style>
  <w:style w:type="character" w:styleId="Style13" w:customStyle="1">
    <w:name w:val="Символ сноски"/>
    <w:uiPriority w:val="99"/>
    <w:unhideWhenUsed/>
    <w:qFormat/>
    <w:rsid w:val="005f30b7"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Style14">
    <w:name w:val="Символ нумерации"/>
    <w:qFormat/>
    <w:rPr/>
  </w:style>
  <w:style w:type="paragraph" w:styleId="Style15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Arial Unicode MS" w:cs="Arial Unicode M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/>
  </w:style>
  <w:style w:type="paragraph" w:styleId="Caption">
    <w:name w:val="Caption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Style16">
    <w:name w:val="Указатель"/>
    <w:basedOn w:val="Normal"/>
    <w:qFormat/>
    <w:pPr>
      <w:suppressLineNumbers/>
    </w:pPr>
    <w:rPr/>
  </w:style>
  <w:style w:type="paragraph" w:styleId="Title">
    <w:name w:val="Title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Arial Unicode MS" w:cs="Arial Unicode MS"/>
      <w:sz w:val="28"/>
      <w:szCs w:val="28"/>
    </w:rPr>
  </w:style>
  <w:style w:type="paragraph" w:styleId="Caption1">
    <w:name w:val="caption1"/>
    <w:basedOn w:val="Normal"/>
    <w:qFormat/>
    <w:pPr>
      <w:suppressLineNumbers/>
      <w:spacing w:before="120" w:after="120"/>
    </w:pPr>
    <w:rPr>
      <w:i/>
      <w:iCs/>
      <w:szCs w:val="24"/>
    </w:rPr>
  </w:style>
  <w:style w:type="paragraph" w:styleId="Indexheading">
    <w:name w:val="index heading"/>
    <w:basedOn w:val="Normal"/>
    <w:qFormat/>
    <w:pPr>
      <w:suppressLineNumbers/>
    </w:pPr>
    <w:rPr/>
  </w:style>
  <w:style w:type="paragraph" w:styleId="Style17" w:customStyle="1">
    <w:name w:val="Колонтитул"/>
    <w:basedOn w:val="Normal"/>
    <w:qFormat/>
    <w:pPr/>
    <w:rPr/>
  </w:style>
  <w:style w:type="paragraph" w:styleId="Header">
    <w:name w:val="Header"/>
    <w:basedOn w:val="Normal"/>
    <w:link w:val="Style9"/>
    <w:uiPriority w:val="99"/>
    <w:rsid w:val="00d002ca"/>
    <w:pPr>
      <w:tabs>
        <w:tab w:val="clear" w:pos="708"/>
        <w:tab w:val="center" w:pos="4320" w:leader="none"/>
        <w:tab w:val="right" w:pos="8640" w:leader="none"/>
      </w:tabs>
    </w:pPr>
    <w:rPr/>
  </w:style>
  <w:style w:type="paragraph" w:styleId="BalloonText">
    <w:name w:val="Balloon Text"/>
    <w:basedOn w:val="Normal"/>
    <w:link w:val="Style10"/>
    <w:uiPriority w:val="99"/>
    <w:semiHidden/>
    <w:unhideWhenUsed/>
    <w:qFormat/>
    <w:rsid w:val="00d002ca"/>
    <w:pPr/>
    <w:rPr>
      <w:rFonts w:ascii="Lucida Grande" w:hAnsi="Lucida Grande"/>
      <w:sz w:val="18"/>
      <w:szCs w:val="18"/>
    </w:rPr>
  </w:style>
  <w:style w:type="paragraph" w:styleId="ListParagraph">
    <w:name w:val="List Paragraph"/>
    <w:basedOn w:val="Normal"/>
    <w:uiPriority w:val="34"/>
    <w:qFormat/>
    <w:rsid w:val="00206a95"/>
    <w:pPr>
      <w:spacing w:before="0" w:after="0"/>
      <w:ind w:left="720" w:hanging="0"/>
      <w:contextualSpacing/>
    </w:pPr>
    <w:rPr/>
  </w:style>
  <w:style w:type="paragraph" w:styleId="Footer">
    <w:name w:val="Footer"/>
    <w:basedOn w:val="Normal"/>
    <w:link w:val="Style11"/>
    <w:uiPriority w:val="99"/>
    <w:unhideWhenUsed/>
    <w:rsid w:val="00206a95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FootnoteText">
    <w:name w:val="Footnote Text"/>
    <w:basedOn w:val="Normal"/>
    <w:link w:val="Style12"/>
    <w:uiPriority w:val="99"/>
    <w:unhideWhenUsed/>
    <w:qFormat/>
    <w:rsid w:val="005f30b7"/>
    <w:pPr/>
    <w:rPr>
      <w:sz w:val="20"/>
    </w:rPr>
  </w:style>
  <w:style w:type="paragraph" w:styleId="NormalWeb">
    <w:name w:val="Normal (Web)"/>
    <w:basedOn w:val="Normal"/>
    <w:uiPriority w:val="99"/>
    <w:unhideWhenUsed/>
    <w:qFormat/>
    <w:rsid w:val="00336344"/>
    <w:pPr>
      <w:spacing w:beforeAutospacing="1" w:afterAutospacing="1"/>
    </w:pPr>
    <w:rPr>
      <w:rFonts w:ascii="Times New Roman" w:hAnsi="Times New Roman" w:eastAsia="Times New Roman"/>
      <w:szCs w:val="24"/>
      <w:lang w:eastAsia="ru-RU"/>
    </w:rPr>
  </w:style>
  <w:style w:type="paragraph" w:styleId="Style18" w:customStyle="1">
    <w:name w:val="Содержимое врезки"/>
    <w:basedOn w:val="Normal"/>
    <w:qFormat/>
    <w:pPr/>
    <w:rPr/>
  </w:style>
  <w:style w:type="paragraph" w:styleId="Style19">
    <w:name w:val="Содержимое таблицы"/>
    <w:basedOn w:val="Normal"/>
    <w:qFormat/>
    <w:pPr>
      <w:widowControl w:val="false"/>
      <w:suppressLineNumbers/>
    </w:pPr>
    <w:rPr/>
  </w:style>
  <w:style w:type="paragraph" w:styleId="Style20">
    <w:name w:val="Заголовок таблицы"/>
    <w:basedOn w:val="Style19"/>
    <w:qFormat/>
    <w:pPr>
      <w:suppressLineNumbers/>
      <w:jc w:val="center"/>
    </w:pPr>
    <w:rPr>
      <w:b/>
      <w:bCs/>
    </w:rPr>
  </w:style>
  <w:style w:type="numbering" w:styleId="NoList" w:default="1">
    <w:name w:val="No List"/>
    <w:uiPriority w:val="99"/>
    <w:semiHidden/>
    <w:unhideWhenUsed/>
    <w:qFormat/>
  </w:style>
  <w:style w:type="numbering" w:styleId="37620162081">
    <w:name w:val="37620162081"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uiPriority w:val="59"/>
    <w:rsid w:val="00c13822"/>
    <w:pPr>
      <w:jc w:val="both"/>
    </w:pPr>
    <w:rPr>
      <w:lang w:val="ru-RU" w:eastAsia="en-US"/>
      <w:sz w:val="26"/>
      <w:szCs w:val="26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af8">
    <w:name w:val="Table Grid"/>
    <w:basedOn w:val="a1"/>
    <w:uiPriority w:val="59"/>
    <w:rsid w:val="00c13822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">
    <w:name w:val="Сетка таблицы2"/>
    <w:basedOn w:val="a1"/>
    <w:uiPriority w:val="39"/>
    <w:rsid w:val="00bb06c8"/>
    <w:rPr>
      <w:lang w:val="ru-RU" w:eastAsia="en-US"/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s://tender.lot-online.ru/" TargetMode="External"/><Relationship Id="rId3" Type="http://schemas.openxmlformats.org/officeDocument/2006/relationships/header" Target="header1.xml"/><Relationship Id="rId4" Type="http://schemas.openxmlformats.org/officeDocument/2006/relationships/header" Target="header2.xml"/><Relationship Id="rId5" Type="http://schemas.openxmlformats.org/officeDocument/2006/relationships/numbering" Target="numbering.xm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<Relationship Id="rId9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1FD31D-1D25-43F9-A4FB-E1C85AF50C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Application>AlterOffice/3.4.0.9$Linux_X86_64 LibreOffice_project/b8daf9e823b1a5463a2f48435ddc2e8696e7d4fc</Application>
  <AppVersion>15.0000</AppVersion>
  <Pages>1</Pages>
  <Words>175</Words>
  <Characters>1184</Characters>
  <CharactersWithSpaces>1379</CharactersWithSpaces>
  <Paragraphs>36</Paragraphs>
  <Company>РусГидро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2025-02-19T03:40:00Z</dcterms:created>
  <dc:creator>Andrey Zhurin</dc:creator>
  <dc:description/>
  <dc:language>ru-RU</dc:language>
  <cp:lastModifiedBy>shabalinda@corp.gidroogk.com</cp:lastModifiedBy>
  <cp:lastPrinted>2026-03-12T15:24:08Z</cp:lastPrinted>
  <dcterms:modified xsi:type="dcterms:W3CDTF">2026-03-12T15:34:17Z</dcterms:modified>
  <cp:revision>33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